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Dodržiavanie legislatívy a odporúčaní zverejňovať protokoly a výsledky postregistračných štúdií registrovaných Európskou agentúrou pre lieky: prierezová štúdia</w:t>
      </w:r>
    </w:p>
    <w:p>
      <w:r>
        <w:t>Zdroj: BMJ</w:t>
      </w:r>
    </w:p>
    <w:p>
      <w:r>
        <w:t>Publikované: 2026-02-25T15:30:46-08:00</w:t>
      </w:r>
    </w:p>
    <w:p/>
    <w:p>
      <w:pPr>
        <w:pStyle w:val="Heading1"/>
      </w:pPr>
      <w:r>
        <w:t>Súhrn</w:t>
      </w:r>
    </w:p>
    <w:p>
      <w:r>
        <w:t>Prierezová štúdia posúdila dodržiavanie legislatívy a odporúčaní zverejňovať protokoly a výsledky postregistračných štúdií registrovaných Európskou liekovou agentúrou (EMA) na základe údajov z februára 2024. Analyzovaných bolo 2300 štúdií (1484 dokončených, 816 prebiehajúcich) na dostupnosť protokolov a 1482 dokončených štúdií na dostupnosť výsledkov. Protokoly boli verejnosti dostupné pre 1370 (59,6 %) zo 2300 štúdií. Pre štúdie podľa plánu manažmentu rizík (RMP) boli protokoly dostupné u 76 (68 %) z 112 štúdií EÚ RMP kategórie 1, 21 (64 %) z 33 kategórie 2, 419 (67 %) z 625 kategórie 3 a len 3 (0,2 %) z 1292 štúdií mimo RMP. Výsledky dokončených štúdií boli dostupné pre 1084 (73 %) z 1482 štúdií, vrátane 61 (90 %) z 68 kategórie 1, 17 (90 %) z 19 kategórie 2, 304 (75,8 %) z 401 kategórie 3 a 54 (64 %) z 83 mimo RMP. Dodržiavanie bolo nedostatočné, najmä u štúdií mimo RMP, kde nie je zákonná povinnosť. Posúdenie dostupnosti údajov v katalógu EMA je uskutočniteľné a podporuje transparentnosť výskumu.</w:t>
      </w:r>
    </w:p>
    <w:p/>
    <w:p>
      <w:pPr>
        <w:jc w:val="center"/>
      </w:pPr>
      <w:r>
        <w:t>Vygenerované: 26.02.2026 02:00:51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