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Novo Nordisk a Vivtex spolupracujú na vývoji perorálnych liekov</w:t>
      </w:r>
    </w:p>
    <w:p>
      <w:r>
        <w:t>Zdroj: Pharmaceutical Technology</w:t>
      </w:r>
    </w:p>
    <w:p>
      <w:r>
        <w:t>Publikované: Thu, 26 Feb 2026 09:12:55 +0000</w:t>
      </w:r>
    </w:p>
    <w:p/>
    <w:p>
      <w:pPr>
        <w:pStyle w:val="Heading1"/>
      </w:pPr>
      <w:r>
        <w:t>Súhrn</w:t>
      </w:r>
    </w:p>
    <w:p>
      <w:r>
        <w:t>Novo Nordisk uzavrel strategickú spoluprácu s americkou biotechnologickou firmou Septerna na vývoj perorálnych malých molekúl. Cieľom je liečba obezity, cukrovky 2. typu a ďalších kardiometabolických ochorení. Dohoda má hodnotu až 2,2 miliardy dolárov. Spolupráca sa zameriava na G proteínom spojené receptory (GPCR), vrátane receptorov GLP-1, GIP a glukagónu. Tieto receptory regulujú chuť do jedla a hladinu cukru v krvi. Plánujú štyri vývojové programy zamerané na tieto ciele. Novo Nordisk pokryje všetky náklady na výskum a vývoj. Partnerstvo pomôže diverzifikovať portfólio za injekčné terapie.[1]</w:t>
      </w:r>
    </w:p>
    <w:p/>
    <w:p>
      <w:pPr>
        <w:jc w:val="center"/>
      </w:pPr>
      <w:r>
        <w:t>Vygenerované: 26.02.2026 11:01:34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