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Generálna oprava zmluvy GP: Čo obsahuje a ako to bolo prijaté?</w:t>
      </w:r>
    </w:p>
    <w:p>
      <w:r>
        <w:t>Zdroj: BMJ</w:t>
      </w:r>
    </w:p>
    <w:p>
      <w:r>
        <w:t>Publikované: 2026-02-26T04:42:13-08:00</w:t>
      </w:r>
    </w:p>
    <w:p/>
    <w:p>
      <w:pPr>
        <w:pStyle w:val="Heading1"/>
      </w:pPr>
      <w:r>
        <w:t>Súhrn</w:t>
      </w:r>
    </w:p>
    <w:p>
      <w:r>
        <w:t>Zmluva GP na roky 2026-2027 zahŕňa navýšenie základného financovania všeobecných praktických lekárov o 485 miliónov libier s účinnosťou od 1. apríla, čo predstavuje 3,6% zvýšenie hotovosti alebo 1,4% nárast reálnych podmienok.[2] Toto navýšenie zahŕňa predpoklad zvýšenia miezd o 2,5% v rokoch 2026-2027 v súlade s odporúčaním orgánov na kontrolu miezd.[2] Zvýšenie o 485 miliónov libier prináša celkovú hodnotu kontraktu GP na 13,86 miliárd libier.[2] Nárast je však podstatne nižší ako zvýšenie investícií o 969 miliónov libier (7,2%) z predchádzajúcich rokov.[2] Existujúci tok príjmov vyplácaný ordináciám na financovanie zlepšenia prístupu (CAP) bol presmerovaný na systém úhrad na úrovni praxe, ktorý bude financovať najímanie ďalších všeobecných lekárov alebo zvýšený počet sedení.[2] Vláda tvrdí, že toto opatrenie zvýši prístup a bude ekvivalentné približne 1 600 všeobecným lekárom v plnom úväzku.[2]</w:t>
      </w:r>
    </w:p>
    <w:p/>
    <w:p>
      <w:pPr>
        <w:jc w:val="center"/>
      </w:pPr>
      <w:r>
        <w:t>Vygenerované: 26.02.2026 14:00:35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