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Transparentnosť postregistračných štúdií</w:t>
      </w:r>
    </w:p>
    <w:p>
      <w:r>
        <w:t>Zdroj: BMJ</w:t>
      </w:r>
    </w:p>
    <w:p>
      <w:r>
        <w:t>Publikované: 2026-02-26T03:47:26-08:00</w:t>
      </w:r>
    </w:p>
    <w:p/>
    <w:p>
      <w:pPr>
        <w:pStyle w:val="Heading1"/>
      </w:pPr>
      <w:r>
        <w:t>Súhrn</w:t>
      </w:r>
    </w:p>
    <w:p>
      <w:r>
        <w:t>Transparentnosť vo výskume zdravotnej starostlivosti je dlhodobou prioritou, ktorá viedla k posúdeniu transparentnosti klinických skúšok a pozorovacích štúdií.[1] Európska lieková agentúra (EMA) vyžaduje od roku 2012, aby všetky postregistračné štúdie klasifikované ako plán minimalizácie rizika (RMP) kategórie 1 alebo 2 mali svoj protokol a výsledky zverejnené vo verejnom úložisku, ktoré v roku 2024 migrovalo do katalógu údajov z reálneho sveta EMA.[1] Postregistračné štúdie RMP kategórie 1 sú tie, ktoré EMA ukladá ako podmienku na vydanie povolenia na uvedenie lieku na trh, pričom sa majú vykonať po vydaní tohto povolenia.[1] Tieto požiadavky platia aj v prípadoch, keď je povolenie na uvedenie na trh udelené za výnimočných okolností.[1] Repozitáre ako register EÚ po vydaní povolenia (PAS) obsahujú metaúdaje štúdií observačného výskumu a informácie o ich transparentnosti.[1]</w:t>
      </w:r>
    </w:p>
    <w:p/>
    <w:p>
      <w:pPr>
        <w:jc w:val="center"/>
      </w:pPr>
      <w:r>
        <w:t>Vygenerované: 26.02.2026 14:01:18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