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Bunková dynamika v celom organizme a epigenomická remodelácia pri starnutí cicavcov</w:t>
      </w:r>
    </w:p>
    <w:p>
      <w:r>
        <w:t>Zdroj: Science Magazine</w:t>
      </w:r>
    </w:p>
    <w:p>
      <w:r>
        <w:t>Publikované: 2026-02-26T08:00:00Z</w:t>
      </w:r>
    </w:p>
    <w:p/>
    <w:p>
      <w:pPr>
        <w:pStyle w:val="Heading1"/>
      </w:pPr>
      <w:r>
        <w:t>Súhrn</w:t>
      </w:r>
    </w:p>
    <w:p>
      <w:r>
        <w:t>Vedci vytvorili atlas chromatinovej dostupnosti z približne 7 miliónov buniek z 21 tkanív u cicavcov v troch vekových skupinách oboch pohlaví.[2][3] Atlas odhalil 536 hlavných bunkových typov a 1828 podtypov definovaných jedinečnými chromatinovými krajinami na približne 1,3 milióna cis-regulačných prvkov.[2][3] Pri starnutí došlo k rozsiahlej remodelácii imunitných línií s nárastom plazmatických buniek a makrofágov a úbytkom progenitorov T a B buniek.[2][3] U neimunitných buniek výrazne klesli populácie obličkových podocytov, granulóznych buniek vaječníkov, tenocytov svalov a aerocytov pľúc.[2][3] Mnohé bunkové podtypy sa menili synchrónne naprieč viacerými orgánmi, čo naznačuje vplyv systémových signálov.[1][2] Na molekulárnej úrovni bolo identifikovaných tisíce oblastí s odlišnou chromatinovou dostupnosťou, vrátane zmien v špičkách a motívoch transkripčných faktorov spojených s génmi zápalu a vývoja.[1][2] Približne 40 % zmien v bunkových populáciách bolo závislých od pohlavia, s desiatkami tisíc špičiek zmenených výlučne u jedného pohlavia.[1][2] Tieto zistenia poskytujú rámec na pochopenie starnutia a zdroj pre terapeutické stratégie.[1][3]</w:t>
      </w:r>
    </w:p>
    <w:p/>
    <w:p>
      <w:pPr>
        <w:jc w:val="center"/>
      </w:pPr>
      <w:r>
        <w:t>Vygenerované: 26.02.2026 21:03:58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