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[Pohľad] Zdravotná spravodlivosť</w:t>
      </w:r>
    </w:p>
    <w:p>
      <w:r>
        <w:t>Zdroj: The Lancet</w:t>
      </w:r>
    </w:p>
    <w:p>
      <w:r>
        <w:t>Publikované: 2026-03-03T23:30:01Z</w:t>
      </w:r>
    </w:p>
    <w:p/>
    <w:p>
      <w:pPr>
        <w:pStyle w:val="Heading1"/>
      </w:pPr>
      <w:r>
        <w:t>Súhrn</w:t>
      </w:r>
    </w:p>
    <w:p>
      <w:r>
        <w:t>Spravodlivosť v zdraví sa často spája s rovnosťou v oblasti zdravia. Táto téma vyvolala v posledných desaťročiach rozsiahlu literatúru. Výskum sociálnych determinantov zdravia viedol k nespočetným článkom. Tieto články dokumentujú nerovnosti v zdraví. Nerovnosti sa prejavujú zdravotnými gradientmi naprieč socioekonomickými triedami. Podobne aj naprieč príjmovými triedami. Tieto gradienty a nerovnosti sú zdokumentované v krajinách po celom svete.</w:t>
      </w:r>
    </w:p>
    <w:p/>
    <w:p>
      <w:pPr>
        <w:jc w:val="center"/>
      </w:pPr>
      <w:r>
        <w:t>Vygenerované: 13.03.2026 02:06:31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