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Korelácia kvality pupočníkovej krvi a funkcie placenty s neonatálnymi výsledkami pri obmedzení rastu plodu</w:t>
      </w:r>
    </w:p>
    <w:p>
      <w:r>
        <w:t>Zdroj: Frontiers Medicine</w:t>
      </w:r>
    </w:p>
    <w:p>
      <w:r>
        <w:t>Publikované: 2026-03-05T00:00:00Z</w:t>
      </w:r>
    </w:p>
    <w:p/>
    <w:p>
      <w:pPr>
        <w:pStyle w:val="Heading1"/>
      </w:pPr>
      <w:r>
        <w:t>Súhrn</w:t>
      </w:r>
    </w:p>
    <w:p>
      <w:r>
        <w:t>Štúdia analyzovala 412 tehotných žien s obmedzením rastu plodu (FGR) z rokov 2022–2023, pričom porovnávala skupiny s priaznivou a nepriaznivou prognózou.[1] Skupina s nepriaznivou prognózou mala nižšie skóre pri narodení a narodila sa v skoršom gestačnom veku.[1] Indexy funkcie placenty (Flow Index, Vascularization Index a Vascularization Flow Index) boli signifikantne vyššie v priaznivej skupine, zatiaľ čo dopplerovské parametre pupočníkovej artérie (index pulzatility, index rezistencie a pomer systolický/diastolický) boli v tejto skupine nižšie.[1] Analýza pupočníkovej krvi ukázala vyššie hodnoty pH, pO2 a HCO3− s nižším pCO2 v priaznivej skupine.[1] Multivariačná analýza identifikovala zvýšené dopplerovské parametre a pCO2 ako rizikové faktory nepriaznivého výsledku, zatiaľ čo vyššie pH, pO2 a HCO3− boli ochranné faktory.[1] Vytvorený prediktívny model dosiahol presnosť 79,5 % (AUC 0,795) s citlivosťou 68,6 % a špecificitou 78,1 %.[1] Zistenia zdôrazňujú dôležitosť komplexného monitorovania funkcie placenty a parametrov pupočníkovej krvi pri FGR.[1]</w:t>
      </w:r>
    </w:p>
    <w:p/>
    <w:p>
      <w:pPr>
        <w:jc w:val="center"/>
      </w:pPr>
      <w:r>
        <w:t>Vygenerované: 05.03.2026 09:00:36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