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Rakovina u detí vo Švédsku počas pandémie COVID-19: dočasné vzorce výskytu a prežívania v celoštátnej kohortovej štúdii založenej na registroch</w:t>
      </w:r>
    </w:p>
    <w:p>
      <w:r>
        <w:t>Zdroj: PLOS Medicine</w:t>
      </w:r>
    </w:p>
    <w:p>
      <w:r>
        <w:t>Publikované: 2026-03-05T14:00:00Z</w:t>
      </w:r>
    </w:p>
    <w:p/>
    <w:p>
      <w:pPr>
        <w:pStyle w:val="Heading1"/>
      </w:pPr>
      <w:r>
        <w:t>Súhrn</w:t>
      </w:r>
    </w:p>
    <w:p>
      <w:r>
        <w:t>Štúdia analyzovala výskyt a prežitie rakoviny u detí a dospievajúcich (0–19 rokov) vo Švédsku v rokoch 2015–2022 na základe národného registra (N=3 333 prípadov, z toho 2 069 počas pandémie). Celková vekovo štandardizovaná miera incidencie zostala stabilná (ASR 2015–2019: 179,82; 2020: 174,7; 2021: 176,5; 2022: 181,2 na 1 milión). Akútna lymfoblastická leukémia (ALL) klesla od februára 2020 s obnovením v 2021, akútna myeloidná leukémia (AML) klesla v rokoch 2020–2022 bez návratu, lymfómy klesli v polovici 2020 a potom sa vrátili, nádory CNS sa v 2020 prechodne zvýšili. Jednoročné prežitie bolo 94,8 % pred pandémiou a 95,9 % počas nej. Nebolo zaznamenané zvýšenie 6-mesačnej ani 1-ročnej mortality; pre ALL a CNS nádory naznačujú nižšiu 1-ročnú mortalitu (aOR=0,37 pre ALL, aOR=0,61 pre CNS). Hlavným obmedzením bola štatistická neistota pre niektoré skupiny kvôli malému počtu prípadov. Celkový výskyt a prežitie nevykázali zásadné zmeny počas pandémie.</w:t>
      </w:r>
    </w:p>
    <w:p/>
    <w:p>
      <w:pPr>
        <w:jc w:val="center"/>
      </w:pPr>
      <w:r>
        <w:t>Vygenerované: 05.03.2026 20:00:32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