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Opakovaná konvergentná evolúcia napodobňujúcich bradykinín ako obranné toxíny</w:t>
      </w:r>
    </w:p>
    <w:p>
      <w:r>
        <w:t>Zdroj: Science Magazine</w:t>
      </w:r>
    </w:p>
    <w:p>
      <w:r>
        <w:t>Publikované: 2026-03-05T07:00:10Z</w:t>
      </w:r>
    </w:p>
    <w:p/>
    <w:p>
      <w:pPr>
        <w:pStyle w:val="Heading1"/>
      </w:pPr>
      <w:r>
        <w:t>Súhrn</w:t>
      </w:r>
    </w:p>
    <w:p>
      <w:r>
        <w:t>Žiadny overený obsah článku „Repeated convergent evolution of bradykinin mimics as defensive toxins“ z Science (zväzok 391, číslo 6789, strany 1046-1052, marec 2026) nie je v poskytnutých zdrojoch dostupný. Vyhľadávacie výsledky neobsahujú fakty, štatistiky ani hlavné zistenia z tohto článku. Súhrn preto nie je možné vytvoriť len na základe overených informácií z článku.</w:t>
      </w:r>
    </w:p>
    <w:p/>
    <w:p>
      <w:pPr>
        <w:jc w:val="center"/>
      </w:pPr>
      <w:r>
        <w:t>Vygenerované: 05.03.2026 21:01:55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