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Krajiny globálnej väčšiny musia začleniť kritické nerasty do riadenia AI</w:t>
      </w:r>
    </w:p>
    <w:p>
      <w:r>
        <w:t>Zdroj: Science Magazine</w:t>
      </w:r>
    </w:p>
    <w:p>
      <w:r>
        <w:t>Publikované: 2026-03-05T08:00:00Z</w:t>
      </w:r>
    </w:p>
    <w:p/>
    <w:p>
      <w:pPr>
        <w:pStyle w:val="Heading1"/>
      </w:pPr>
      <w:r>
        <w:t>Súhrn</w:t>
      </w:r>
    </w:p>
    <w:p>
      <w:r>
        <w:t>Krajiny globálnej väčšiny musia začleniť kritické nerasty do riadenia umelej inteligencie (AI). Článok zdôrazňuje globálny AI rozdiel, ktorý zahŕňa nerovnosti v rozvoji AI, inováciách a regulácii. Tieto nerovnosti sú spôsobené systémovými nedostatkami v vzdelávaní, digitálnej infraštruktúre a prístupe k rozhodovacím procesom, čo vedie k závislosti a vylúčeniu krajín globálnej väčšiny. Západné krajiny a korporácie dominujú tvorbe rámcov riadenia AI, čím ignorujú špecifické priority a kontexty globálnej väčšiny. Čínska dominancia je výrazná v šiestich kľúčových kritických nerastov – lítium, grafit, kobalt, nikel, meď a vzácne zeminy – kde kontroluje v priemere dve tretiny globálneho spracovania a rafinácie, vrátane 75 % alebo viac v grafite, rafinovaných vzácnych zeminách a rafinovanom kobalte. Vznikajú proti-trendy ako národné a regionálne stratégie AI, ktoré môžu podporiť rovnosť a inklúziu v globálnom riadení AI. Článok navrhuje reformy systému, redistribúciu zdrojov a zmysluplnú účasť pre demokratizáciu riadenia AI v prospech krajín globálnej väčšiny.</w:t>
      </w:r>
    </w:p>
    <w:p/>
    <w:p>
      <w:pPr>
        <w:jc w:val="center"/>
      </w:pPr>
      <w:r>
        <w:t>Vygenerované: 05.03.2026 21:07:35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