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Omada hlási prvý ziskový štvrťrok, pretože využíva širokú príležitosť GLP-1</w:t>
      </w:r>
    </w:p>
    <w:p>
      <w:r>
        <w:t>Zdroj: STAT News</w:t>
      </w:r>
    </w:p>
    <w:p>
      <w:r>
        <w:t>Publikované: Thu, 05 Mar 2026 21:20:00 +0000</w:t>
      </w:r>
    </w:p>
    <w:p/>
    <w:p>
      <w:pPr>
        <w:pStyle w:val="Heading1"/>
      </w:pPr>
      <w:r>
        <w:t>Súhrn</w:t>
      </w:r>
    </w:p>
    <w:p>
      <w:r>
        <w:t>Spoločnosť Omada Health, poskytovateľ virtuálnej starostlivosti medzi lekárskymi návštevami, oznámila predbežné neauditované finančné výsledky za štvrtý štvrťrok a celý rok 2025[1][2]. Očakávané príjmy za štvrtý štvrťrok 2025 dosiahnu 72 až 74 miliónov dolárov, čo predstavuje nárast o 50 až 54 % oproti rovnakému obdobiu roku 2024[1][2]. Za celý rok 2025 očakáva príjmy 256 až 258 miliónov dolárov, teda rast o 51 až 52 % v porovnaní s rokom 2024[1][2]. Počet členov dosiahol k 31. decembru 2025 približne 886 000, čo je nárast o 55 % oproti predchádzajúcemu roku[1][2]. Firma v roku 2025 rozšírila svoje ponuky starostlivosti o GLP-1 lieky a pokročila v používaní umelej inteligencie na platforme[1][2]. Tieto výsledky podčiarkujú rastúcu relevanciu modelu medzi-návštevovej starostlivosti, uviedol spoluzakladateľ a CEO Sean Duffy[1][2]. Finálne audítované výsledky budú zverejnené 5. marca 2026 po zatvorení trhu[4][5]. V treťom štvrťroku 2025 dosiahla firma príjmy 61 miliónov dolárov s ročným rastom 49 %, podporené programom GLP-1[3].</w:t>
      </w:r>
    </w:p>
    <w:p/>
    <w:p>
      <w:pPr>
        <w:jc w:val="center"/>
      </w:pPr>
      <w:r>
        <w:t>Vygenerované: 05.03.2026 23:00:35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