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Resetovanie Moderny závisí od onkológie</w:t>
      </w:r>
    </w:p>
    <w:p>
      <w:r>
        <w:t>Zdroj: STAT News</w:t>
      </w:r>
    </w:p>
    <w:p>
      <w:r>
        <w:t>Publikované: Fri, 06 Mar 2026 14:46:59 +0000</w:t>
      </w:r>
    </w:p>
    <w:p/>
    <w:p>
      <w:pPr>
        <w:pStyle w:val="Heading1"/>
      </w:pPr>
      <w:r>
        <w:t>Súhrn</w:t>
      </w:r>
    </w:p>
    <w:p>
      <w:r>
        <w:t>Spoločnosť Moderna plánuje zvýšiť príjmy o 10 % do roku 2026 zameraním sa na rozšírenie vakcinačnej ponuky zo štyroch na šesť schválených produktov do roku 2028, vrátane vakcín proti chrípke a kombinovanej chrípka/COVID.[1] Firma využije príjmy z produktov Spikevax, mRESVIA a mNEXSPIKE na financovanie programov v onkológii a zriedkavých ochoreniach, pričom očakáva dosiahnutie rovnováhy príjmov a výdavkov do roku 2028.[1] V onkológii pokračuje s ôsmimi klinickými skúškami v 2. a 3. fáze pre liek intismeran autogene u viacerých typov nádorov vo spolupráci s Merckom.[1] Moderna znížila očakávané náklady na rok 2026 na približne 4,2 miliardy dolárov a na roky 2027 na 3,5 až 3,9 miliardy dolárov prostredníctvom úsporných opatrení a priorizácie výskumu.[1] Ako súčasť restrukturalizácie ukončuje štyri programy, vrátane klinického vývoja proti cytomegalovírusu a herpes simplex vírusu.[1] Firma uzavrela päťročnú úverovú linku do výšky 1,5 miliardy dolárov od Ares Management Credit Funds a investuje 140 miliónov dolárov do novej výrobnej linky v Norwood, Massachusetts.[1] Od roku 2022 zefektívnila výrobu, opustila ôsmich dodávateľov a postavila tri vlastné závody vo Veľkej Británii, Kanade a Austrálii, čím očakáva zlepšenie hrubých marží o 10 % za tri roky.[1]</w:t>
      </w:r>
    </w:p>
    <w:p/>
    <w:p>
      <w:pPr>
        <w:jc w:val="center"/>
      </w:pPr>
      <w:r>
        <w:t>Vygenerované: 06.03.2026 16:00:43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