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Reformy financovania UKRI: univerzity a výskumníci by mali byť váženými spolupracovníkmi, nie dodatočným nápadom</w:t>
      </w:r>
    </w:p>
    <w:p>
      <w:r>
        <w:t>Zdroj: BMJ</w:t>
      </w:r>
    </w:p>
    <w:p>
      <w:r>
        <w:t>Publikované: 2026-03-06T08:11:09-08:00</w:t>
      </w:r>
    </w:p>
    <w:p/>
    <w:p>
      <w:pPr>
        <w:pStyle w:val="Heading1"/>
      </w:pPr>
      <w:r>
        <w:t>Súhrn</w:t>
      </w:r>
    </w:p>
    <w:p>
      <w:r>
        <w:t>Krajina financovania výskumu zdravotníctva vo Veľkej Británii sa za posledné tri mesiace zmenila bezprecedentnou rýchlosťou. UK Research and Innovation (UKRI), najväčší verejný investor do výskumu a inovácií, prepracúva spôsob rozdeľovania svojho štvorročného rozpočtu vo výške 38,6 miliardy libier medzi svojimi siedmimi výskumnými radami. Národný inštitút pre výskum zdravia a starostlivosti (NIHR) dramaticky zúžil rozsah financovania globálneho zdravia na „akútne a chronické ohrozenia globálnej bezpečnosti v oblasti zdravia“ po prerušení svojho zdravotného programu po šiestich mesiacoch. Tieto zmeny spôsobujú inštitucionálnu nestabilitu a plytvanie časom a verejnými peniazmi investovanými do písania a posudzovania žiadostí o granty pre schémy, ktoré boli neočakávane ukončené alebo pozastavené. UKRI by mala zmierniť negatívne dopady zvážením transparentnosti a náhleho rozhodovania, nedostatku spolupráce s výskumníkmi a univerzitami a nezamýšľaných dôsledkov. Univerzity fungujú ako kľúčoví aktéri v tomto procese.</w:t>
      </w:r>
    </w:p>
    <w:p/>
    <w:p>
      <w:pPr>
        <w:jc w:val="center"/>
      </w:pPr>
      <w:r>
        <w:t>Vygenerované: 06.03.2026 18:00:38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