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Peptidy v potrubí: Ako spoločnosti prekonávajú výzvy v počiatočnom štádiu</w:t>
      </w:r>
    </w:p>
    <w:p>
      <w:r>
        <w:t>Zdroj: Pharmaceutical Technology</w:t>
      </w:r>
    </w:p>
    <w:p>
      <w:r>
        <w:t>Publikované: Tue, 10 Mar 2026 16:28:56 +0000</w:t>
      </w:r>
    </w:p>
    <w:p/>
    <w:p>
      <w:pPr>
        <w:pStyle w:val="Heading1"/>
      </w:pPr>
      <w:r>
        <w:t>Súhrn</w:t>
      </w:r>
    </w:p>
    <w:p>
      <w:r>
        <w:t>Peptidy sa v farmaceutickom priemysle snažia nájsť svoje miesto medzi veľkými a malými molekulami[1]. V súčasnosti predstavujú 18 % globálnych pipeline v fázach 2 a 3[1]. Existuje viac ako 25 schválených liekov a 280 kandidátov v vývoji[3]. Prebieha viac ako 1200 klinických skúšok, najmä zameraných na metabolické ochorenia a onkologické poruchy[3]. 45 % schválených peptidových liekov je indikovaných na metabolické ochorenia a diabetes[4]. Spoločnosti prekonávajú počiatočné výzvy prostredníctvom pokročilých technológií syntézy, ako je kontinuálna SPPS, ktorá znižuje hmotnostnú intenzitu procesu až o 50 %[1]. Investície do peptidov presahujú 7 miliárd USD z verejného a súkromného sektora[3]. Významné partnerstvá zahŕňajú dohodu PeptiDream s Novartis za 180 miliónov USD a Genentech za 1 miliardu USD[1].</w:t>
      </w:r>
    </w:p>
    <w:p/>
    <w:p>
      <w:pPr>
        <w:jc w:val="center"/>
      </w:pPr>
      <w:r>
        <w:t>Vygenerované: 10.03.2026 18:01:18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