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Chronické srdcové zlyhanie u dospelých: diagnostika a manažment&amp;#x2014;zhrnutie aktualizovaného usmernenia NICE</w:t>
      </w:r>
    </w:p>
    <w:p>
      <w:r>
        <w:t>Zdroj: BMJ</w:t>
      </w:r>
    </w:p>
    <w:p>
      <w:r>
        <w:t>Publikované: 2026-03-11T06:06:07-07:00</w:t>
      </w:r>
    </w:p>
    <w:p/>
    <w:p>
      <w:pPr>
        <w:pStyle w:val="Heading1"/>
      </w:pPr>
      <w:r>
        <w:t>Súhrn</w:t>
      </w:r>
    </w:p>
    <w:p>
      <w:r>
        <w:t>Aktualizované usmernenie NICE odporúča ponúknuť štyri triedy liekov – inhibítory angiotenzín konvertujúceho enzýmu, betablokátory, antagonisty mineralokortikoidných receptorov a inhibítory sodno-glukózového kotransportéra-2 – na liečbu srdcového zlyhania so zníženou ejekčnou frakciou. Tieto lieky sa zvážia aj pre pacientov so srdcovým zlyhaním s mierne zníženou ejekčnou frakciou. U pacientov so srdcovým zlyhaním a deficitom železa sa zváži intravenózne podanie železa pri znížení sérového feritínu pod 15 g/l. Pre pacientov so srdcovým zlyhaním so zachovanou ejekčnou frakciou sa zvážia inhibítory sodno-glukózového kotransportéra-2 a antagonisty mineralokortikoidných receptorov. Prevalencia srdcového zlyhania v Európe sa odhaduje na 1–2 % dospelých. V Spojenom kráľovstve sa počet hospitalizácií pre srdcové zlyhanie zvýšil z 61 401 v roku 2022/23 na 65 679 v roku 2023/24. Toto predstavuje značnú záťaž pre pacientov a zdravotnícke zdroje vrátane nemocničných príjmov, ambulantných návštev a prebiehajúceho manažmentu.</w:t>
      </w:r>
    </w:p>
    <w:p/>
    <w:p>
      <w:pPr>
        <w:jc w:val="center"/>
      </w:pPr>
      <w:r>
        <w:t>Vygenerované: 11.03.2026 15:00:43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