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Antimikrobiálna rezistencia: Projekty farmaceutických produktov klesnú o viac ako tretinu</w:t>
      </w:r>
    </w:p>
    <w:p>
      <w:r>
        <w:t>Zdroj: BMJ</w:t>
      </w:r>
    </w:p>
    <w:p>
      <w:r>
        <w:t>Publikované: 2026-03-12T02:01:14-07:00</w:t>
      </w:r>
    </w:p>
    <w:p/>
    <w:p>
      <w:pPr>
        <w:pStyle w:val="Heading1"/>
      </w:pPr>
      <w:r>
        <w:t>Súhrn</w:t>
      </w:r>
    </w:p>
    <w:p>
      <w:r>
        <w:t>Farmaceutické projekty na boj proti antimikrobiálnej rezistencii (AMR) klesli za posledných päť rokov o viac ako tretinu, čiže o 35 %. Tento pokles nastal napriek rastúcim úmrtiam spôsobeným rezistentnými infekciami. Svetová zdravotnícka organizácia vyhlásila AMR za jednu z najväčších globálnych zdravotných hrozieb. V roku 2019 zomrelo celosvetovo 1,27 milióna ľudí priamo na odolné infekcie, ktoré prispeli k približne 4,95 miliónu úmrtí. V Spojenom kráľovstve sa počet úmrtí na rezistentné infekcie zvýšil medzi rokmi 2023 a 2024 o takmer 17 %, z 2041 na 2379. Britská agentúra pre zdravotnú bezpečnosť v Anglicku hlásila v roku 2024 takmer 400 nových prípadov týždenne. Zistenia pochádzajú z porovnávacej správy organizácie Access to Medicine Foundation, ktorá analyzovala úsilie farmaceutických spoločností proti superbaktériám.</w:t>
      </w:r>
    </w:p>
    <w:p/>
    <w:p>
      <w:pPr>
        <w:jc w:val="center"/>
      </w:pPr>
      <w:r>
        <w:t>Vygenerované: 12.03.2026 13:01:27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