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Prehodnotenie nemocničného systému verzus private equity</w:t>
      </w:r>
    </w:p>
    <w:p>
      <w:r>
        <w:t>Zdroj: Email Newsletter</w:t>
      </w:r>
    </w:p>
    <w:p>
      <w:r>
        <w:t>Publikované: Thu, 12 Mar 2026 08:06:00 -0400</w:t>
      </w:r>
    </w:p>
    <w:p/>
    <w:p>
      <w:pPr>
        <w:pStyle w:val="Heading1"/>
      </w:pPr>
      <w:r>
        <w:t>Súhrn</w:t>
      </w:r>
    </w:p>
    <w:p>
      <w:r>
        <w:t>Článok "Revisiting Hospital System Versus Private Equity" sa objavil v Anesthesiology News, nezávislých mesačných novinách pre anestéziológov. Publikácia je najčítanejšia v odbore anestéziológie v USA. Článok sa zaoberá témou porovnania nemocničných systémov a private equity. Copyright na článok vlastní McMahon Publishing. Reprodukcia celku alebo častí článku bez povolenia je zakázaná. Článok je dostupný aj online na webovej stránke Anesthesiology News.</w:t>
      </w:r>
    </w:p>
    <w:p/>
    <w:p>
      <w:pPr>
        <w:jc w:val="center"/>
      </w:pPr>
      <w:r>
        <w:t>Vygenerované: 12.03.2026 14:00:43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