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BMJ</w:t>
      </w:r>
    </w:p>
    <w:p>
      <w:r>
        <w:t>Publikované: 2026-03-12T03:46:14-07:00</w:t>
      </w:r>
    </w:p>
    <w:p/>
    <w:p>
      <w:pPr>
        <w:pStyle w:val="Heading1"/>
      </w:pPr>
      <w:r>
        <w:t>Súhrn</w:t>
      </w:r>
    </w:p>
    <w:p>
      <w:r>
        <w:t>Randomizovaná fáza 3 štúdia porovnávala camrelizumab plus CAPOX nasledovaný camrelizumab plus apatinib (camre+CAPOX/camre+apa), CAPOX samotný a camrelizumab plus CAPOX nasledovaný camrelizumabom (camre+CAPOX/camre) ako počiatočnú liečbu u 885 dospelých pacientov s HER2-negatívnym, nerezecabilným, lokálne pokročilým alebo metastatickým adenokarcinómom žalúdka alebo gastroezofageálneho spojenia. Pacienti boli randomizovaní v pomere 2:2:1, stratifikovaní podľa stavu ECOG, peritoneálnej metastázy a PD-L1 CPS. Primárnym cieľovým parametrom bolo celkové prežitie (OS) pre camre+CAPOX/camre+apa verzus CAPOX v PD-L1 pozitívnej populácii (CPS &gt;1) a celkovej populácii. V PD-L1 pozitívnej skupine bol medián OS 15,0 mesiaca verzus 12,5 mesiaca (HR 0,80; 95% CI 0,65-0,98; jednostranné P=0,02); v celkovej populácii 13,5 mesiaca verzus 12,1 mesiaca (HR 0,80; 95% CI 0,68-0,94; jednostranné P=0,004). Camre+CAPOX/camre ukázal dlhšie OS verzus CAPOX v PD-L1 pozitívnej skupine (15,3 verzus 12,5 mesiaca; HR 0,76; 95% CI 0,58-0,97; nominálne P=0,01) a celkovo (14,2 verzus 12,1 mesiaca; HR 0,80; 95% CI 0,65-0,98; nominálne P=0,02). Medzi camre+CAPOX/camre+apa a camre+CAPOX/camre nebol prínos v OS. Závažné nežiaduce udalosti stupňa ≥3 sa vyskytli u 67,9% pacientov v camre+CAPOX/camre+apa, 45,3% v CAPOX a 46,9% v camre+CAPOX/camre.</w:t>
      </w:r>
    </w:p>
    <w:p/>
    <w:p>
      <w:pPr>
        <w:jc w:val="center"/>
      </w:pPr>
      <w:r>
        <w:t>Vygenerované: 12.03.2026 15:01:34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