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Správna rada EMA: najdôležitejšie body stretnutia v marci 2026</w:t>
      </w:r>
    </w:p>
    <w:p>
      <w:r>
        <w:t>Zdroj: EMA News</w:t>
      </w:r>
    </w:p>
    <w:p>
      <w:r>
        <w:t>Publikované: Fri, 13 Mar 2026 14:40:01 +0100</w:t>
      </w:r>
    </w:p>
    <w:p/>
    <w:p>
      <w:pPr>
        <w:pStyle w:val="Heading1"/>
      </w:pPr>
      <w:r>
        <w:t>Súhrn</w:t>
      </w:r>
    </w:p>
    <w:p>
      <w:r>
        <w:t>Správna rada EMA prijala výročnú správu EMA za rok 2025. Tento rok predstavoval ďalší silný rok pre reguláciu liekov v Európskej únii. EMA dodala 104 liekov. Správa sumarizuje kľúčové aktivity a výsledky agentúry za rok 2025. Stretnutie Správnej rady sa konalo v marci 2026. Dokument zdôrazňuje úspešný priebeh regulácie liekov v EÚ.</w:t>
      </w:r>
    </w:p>
    <w:p/>
    <w:p>
      <w:pPr>
        <w:jc w:val="center"/>
      </w:pPr>
      <w:r>
        <w:t>Vygenerované: 13.03.2026 15:00:34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