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Mirabegron u pacientov s vekom podmienenou degeneráciou makuly liečených pre hyperaktívny močový mechúr: protokol štúdie pre prospektívnu observačnú nerandomizovanú štúdiu</w:t>
      </w:r>
    </w:p>
    <w:p>
      <w:r>
        <w:t>Zdroj: Frontiers Medicine</w:t>
      </w:r>
    </w:p>
    <w:p>
      <w:r>
        <w:t>Publikované: 2026-03-16T00:00:00Z</w:t>
      </w:r>
    </w:p>
    <w:p/>
    <w:p>
      <w:pPr>
        <w:pStyle w:val="Heading1"/>
      </w:pPr>
      <w:r>
        <w:t>Súhrn</w:t>
      </w:r>
    </w:p>
    <w:p>
      <w:r>
        <w:t>Tento článok predstavuje protokol prospektívnej observačnej nerandomizovanej štúdie o použití mirabegronu u pacientov s vekom podmienenou degeneráciou makuly (suchá AMD) a hyperaktívnym močovým mechúrom (OAB). Mirabegron je agonista beta 3 adrenoceptorov, licencovaný na liečbu OAB, s potenciálnym účinkom na zníženie angiogennej proliferácie v sietnici, čo by mohlo zabrániť prechodu zo suchej na vlhkú (neovaskulárnu) formu AMD. Lieky proti vaskulárnemu endotelovému rastovému faktoru revolúčne zmenili liečbu vlhká AMD, no prevencia konverzie zo suchej formy poskytuje lepšiu dlhodobú prognózu zraku. OAB a AMD sú časté u starších dospelých a zdieľajú rizikové faktory, čo naznačuje potrebu spoločnej liečby. Mirabegron má bezpečný profil pre oči, pretože neovplyvňuje makulárne a choriokapilárne parametre u pacientov s OAB. Cieľom štúdie je vyhodnotiť vplyv mirabegronu na spomalenie progresie AMD zo suchej na neovaskulárnu formu u pacientov s oboma ochoreniami. Štúdia je zaregistrovaná pod identifikátorom NCT07305298.</w:t>
      </w:r>
    </w:p>
    <w:p/>
    <w:p>
      <w:pPr>
        <w:jc w:val="center"/>
      </w:pPr>
      <w:r>
        <w:t>Vygenerované: 16.03.2026 07:46:14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