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Vyzýva na zmenu, pretože prístup k bunkovým a génovým terapiám v Holandsku zaostáva</w:t>
      </w:r>
    </w:p>
    <w:p>
      <w:r>
        <w:t>Zdroj: Pharmaceutical Technology</w:t>
      </w:r>
    </w:p>
    <w:p>
      <w:r>
        <w:t>Publikované: Wed, 18 Mar 2026 17:21:24 +0000</w:t>
      </w:r>
    </w:p>
    <w:p/>
    <w:p>
      <w:pPr>
        <w:pStyle w:val="Heading1"/>
      </w:pPr>
      <w:r>
        <w:t>Súhrn</w:t>
      </w:r>
    </w:p>
    <w:p>
      <w:r>
        <w:t>V Holandsku zaostáva prístup k bunkovým a génovým terapiám. Vedúci predstaviteľ spoločnosti Gilead vyzýva na zmeny v systéme. Investície do inovácií sú obmedzené v porovnaní s potrebou. Je nevyhnutné urýchliť dostupnosť ATMP pre pacientov. Článok zdôrazňuje potrebu lepšej podpory týchto terapií. Prístup k nim v krajine momentálne nespĺňa očakávania.</w:t>
      </w:r>
    </w:p>
    <w:p/>
    <w:p>
      <w:pPr>
        <w:jc w:val="center"/>
      </w:pPr>
      <w:r>
        <w:t>Vygenerované: 19.03.2026 12:01:06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