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Multiomická integrácia jednobunkovej transkriptomiky a údajov hromadného sekvenovania identifikuje kľúčové biomarkery a prediktívne modely pre klasifikáciu podtypov IBD</w:t>
      </w:r>
    </w:p>
    <w:p>
      <w:r>
        <w:t>Zdroj: Frontiers Medicine</w:t>
      </w:r>
    </w:p>
    <w:p>
      <w:r>
        <w:t>Publikované: 2026-03-19T00:00:00Z</w:t>
      </w:r>
    </w:p>
    <w:p/>
    <w:p>
      <w:pPr>
        <w:pStyle w:val="Heading1"/>
      </w:pPr>
      <w:r>
        <w:t>Súhrn</w:t>
      </w:r>
    </w:p>
    <w:p>
      <w:r>
        <w:t>Štúdia integrovala údaje o jednobunkovom sekvenovaní RNA periférnej krvi (GSE125527) a hromadnom sekvenovaní (GSE75214) od pacientov s ulceróznou kolitídou (UC) a Crohnovou chorobou (CD), aby identifikovala molekulárne rozdiely. Analýza odhalila u pacientov s UC IL-17A+ efektorové pamäťové T bunky a obohatené migračné dráhy leukocytov, zatiaľ čo u CD dominovali procesy aktivácie imunitných buniek IL-1β a B-produkcie. Krížová integrácia identifikovala 43 konzistentne dysregulovaných génov a 10 hub génov (THBS1, PLAUR, KLF4, CD36, CD44, CXCR4, FOS, S100A9, ANXA1, TIMP1). 18-génový model strojového učenia dosiahol AUC 0,73 v nezávislej validácii (GSE179285). Silné biomarkery LDHB, MGAT4A a PSME2 mali obmedzené predchádzajúce hlásenia v klasifikácii UC/CD. Immunohistochemická validácia potvrdila expresiu špecifickú pre podtyp: GZMA a PSME2 zvýšené v CD, LDHB a FOSB v UC. Prístup odhalil rozdiely v imunitnej regulácii, metabolizme a prestavbe tkaniva.</w:t>
      </w:r>
    </w:p>
    <w:p/>
    <w:p>
      <w:pPr>
        <w:jc w:val="center"/>
      </w:pPr>
      <w:r>
        <w:t>Vygenerované: 19.03.2026 07:47:16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