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Quintessence predstavuje prvú „živú“ umelú bunku na biologickú separáciu CGT</w:t>
      </w:r>
    </w:p>
    <w:p>
      <w:r>
        <w:t>Zdroj: Pharmaceutical Technology</w:t>
      </w:r>
    </w:p>
    <w:p>
      <w:r>
        <w:t>Publikované: Thu, 19 Mar 2026 11:10:38 +0000</w:t>
      </w:r>
    </w:p>
    <w:p/>
    <w:p>
      <w:pPr>
        <w:pStyle w:val="Heading1"/>
      </w:pPr>
      <w:r>
        <w:t>Súhrn</w:t>
      </w:r>
    </w:p>
    <w:p>
      <w:r>
        <w:t>Quintessence predstavuje prvú „živú“ umelú bunku na biologickú separáciu pri výrobe CGT. Táto technológia je navrhnutá tak, aby zjednodušila proces biologického oddeľovania. Zároveň znižuje výrobné náklady v oblasti CGT. „Živá“ umelá bunka slúži na separáciu v biotechnologických procesoch. Technológia Quintessence cieli na efektívnejšie oddelenie biologických materiálov. Proces separácie je kľúčový pre výrobu CGT terapií.</w:t>
      </w:r>
    </w:p>
    <w:p/>
    <w:p>
      <w:pPr>
        <w:jc w:val="center"/>
      </w:pPr>
      <w:r>
        <w:t>Vygenerované: 19.03.2026 14:01:20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