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Tabak by mohol získať podporu z farmárskeho účtu. Ako sa to zhoduje s MAHA?</w:t>
      </w:r>
    </w:p>
    <w:p>
      <w:r>
        <w:t>Zdroj: STAT News</w:t>
      </w:r>
    </w:p>
    <w:p>
      <w:r>
        <w:t>Publikované: Fri, 20 Mar 2026 08:30:00 +0000</w:t>
      </w:r>
    </w:p>
    <w:p/>
    <w:p>
      <w:pPr>
        <w:pStyle w:val="Heading1"/>
      </w:pPr>
      <w:r>
        <w:t>Súhrn</w:t>
      </w:r>
    </w:p>
    <w:p>
      <w:r>
        <w:t>Farmársky zákon by mohol poskytnúť tabaku podporu. Táto skutočnosť sa nedá zosúladiť s iniciatívou MAHA. Politici, ktorí sa zameriavajú na poľnohospodársky priemysel, riskujú stratu podpory od MAHA. Ich kroky sú v rozpore s cieľmi verejného zdravia.</w:t>
      </w:r>
    </w:p>
    <w:p/>
    <w:p>
      <w:pPr>
        <w:jc w:val="center"/>
      </w:pPr>
      <w:r>
        <w:t>Vygenerované: 20.03.2026 10:01:19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