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Oprava autora: Proteín Wiskott-Aldrichovho syndrómu (WASP) je nádorový supresor pri T-bunkovom lymfóme</w:t>
      </w:r>
    </w:p>
    <w:p>
      <w:r>
        <w:t>Zdroj: Nature Medicine</w:t>
      </w:r>
    </w:p>
    <w:p>
      <w:r>
        <w:t>Publikované: 2026-03-20</w:t>
      </w:r>
    </w:p>
    <w:p/>
    <w:p>
      <w:pPr>
        <w:pStyle w:val="Heading1"/>
      </w:pPr>
      <w:r>
        <w:t>Súhrn</w:t>
      </w:r>
    </w:p>
    <w:p>
      <w:r>
        <w:t>Toto je oprava autora článku publikovaného v Nature Medicine. Článok sa zaoberá proteínom Wiskott-Aldrichovho syndrómu (WASP). WASP pôsobí ako nádorový supresor pri T-bunkovom lymfóme. Oprava bola publikovaná online 20. marca 2026. DOI článku je 10.1038/s41591-026-04339-0.</w:t>
      </w:r>
    </w:p>
    <w:p/>
    <w:p>
      <w:pPr>
        <w:jc w:val="center"/>
      </w:pPr>
      <w:r>
        <w:t>Vygenerované: 20.03.2026 18:00:30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