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Prípadové vzdelávanie v medicínskom vzdelávaní podporované AI: komplexný prehľad rozsahu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Autori vykonali komplexný prehľad rozsahu literatúry o integrácii generatívnej umelej inteligencie (GenAI) do učenia na základe prípadov (CBL) v medicínskom vzdelávaní. Prehľad mapoval dôkazy z multidisciplinárnych databáz ako PubMed, ERIC, Scopus, Web of Science, publikácií od roku 2005 a Google Scholar, s nezávislým skríningom a extrakciou údajov dvoma recenzentmi. Zistenia boli usporiadané do šiestich kľúčových tém: zlepšenie klinického uvažovania a kontextového myslenia, efektívne vytváranie prípadov, zapojenie študentov a ich motivácia, presnosť a etické otázky, adaptácia pedagógov a hybridné metódy učenia. Dôkazy ukazujú, že GenAI efektívne podporuje CBL najmä v skorých a stredných štádiách medicínskeho vzdelávania. Zdôrazňuje sa potreba dohľadu zo strany fakulty a ďalšieho výskumu na pokročilé klinické úsudky a etiku. Prehľad je zaregistrovaný pod identifikátorom 28E3G na OSF.IO.</w:t>
      </w:r>
    </w:p>
    <w:p/>
    <w:p>
      <w:pPr>
        <w:jc w:val="center"/>
      </w:pPr>
      <w:r>
        <w:t>Vygenerované: 25.03.2026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