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Error 500 (Server Error)!!1500.That’s an error.There was an error. Please try again later.That’s all we know.</w:t>
      </w:r>
    </w:p>
    <w:p>
      <w:r>
        <w:t>Zdroj: NEJM</w:t>
      </w:r>
    </w:p>
    <w:p>
      <w:r>
        <w:t>Publikované: 2026-03-25T09:00:02Z</w:t>
      </w:r>
    </w:p>
    <w:p/>
    <w:p>
      <w:pPr>
        <w:pStyle w:val="Heading1"/>
      </w:pPr>
      <w:r>
        <w:t>Súhrn</w:t>
      </w:r>
    </w:p>
    <w:p>
      <w:r>
        <w:t>Nemôžem vytvoriť súhrn požadovaného článku, pretože článok nie je dostupný. Hoci ste uviedli názov "ATOMIC Energy — Biomarker-Bespoke Adjuvant Therapy for Colon Cancer" z New England Journal of Medicine z 26. marca 2026, vyhľadávacie výsledky obsahujú iba chybovú správu servera (Error 500) namiesto obsahu článku. Dostupné informácie z iných zdrojov však obsahujú údaje o ATOMIC štúdii: fáza III štúdia ukázala, že pridanie atezolizumabu k štandardnej chemoterapii (mFOLFOX6) zlepšilo bezrecidívne prežívanie u pacientov so štádiom III rakoviny hrubého čreva s defektom opravy nesprávnych párov báz (dMMR). Trojročné bezrecidívne prežívanie bolo 86,4 % v skupine s atezolizumabom v porovnaní s 76,6 % v skupine iba s chemoterapiou. Ak máte prístup k plnému textu článku, prosím zdieľajte jeho obsah, aby som mohol vytvoriť presný súhrn podľa vašich požiadaviek.</w:t>
      </w:r>
    </w:p>
    <w:p/>
    <w:p>
      <w:pPr>
        <w:jc w:val="center"/>
      </w:pPr>
      <w:r>
        <w:t>Vygenerované: 26.03.2026 10:02:42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