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Hodnotenie biomedicínskych a behaviorálnych faktorov poklesu výskytu HIV u dospievajúcich dievčat a mladých žien v Ugande: Štúdia matematického modelovania</w:t>
      </w:r>
    </w:p>
    <w:p>
      <w:r>
        <w:t>Zdroj: PLOS Medicine</w:t>
      </w:r>
    </w:p>
    <w:p>
      <w:r>
        <w:t>Publikované: 2026-03-25T14:00:00Z</w:t>
      </w:r>
    </w:p>
    <w:p/>
    <w:p>
      <w:pPr>
        <w:pStyle w:val="Heading1"/>
      </w:pPr>
      <w:r>
        <w:t>Súhrn</w:t>
      </w:r>
    </w:p>
    <w:p>
      <w:r>
        <w:t>Štúdia matematického modelovania hodnotila biomedicínske a behaviorálne faktory poklesu incidencie HIV u dospievajúcich dievčat a mladých žien (AGYW) vo veku 15–24 rokov v Ugande na základe údajov z Rakai Community Cohort Study. Výskyt HIV klesol z 1,57 na 0,45 na 100 osoborokov, čo je najväčší pokles vo všetkých vekových skupinách žien. Nárast veku pri prvom pohlaví (o približne 3 roky u žien a 2 roky u mužov) bol hlavným faktorom u dievčat 15–19 rokov, odvrátil 17 % kumulatívnych infekcií v rokoch 2000–2020 a 37 % do roku 2050. U žien 20–24 rokov ART odvrátila 24 % infekcií do roku 2020 a 43 % do roku 2050. Dobrovoľná lekárska obriezka mužov (VMMC) mierne prispela k historickému poklesu, no má väčší vplyv v dlhšom horizonte. ART, VMMC a oneskorenie prvého pohlavia pôsobia aditívne na zníženie incidencie. Obmedzenia zahŕňajú samohodnotené sexuálne správanie a model, ktorý nezachytáva plnú dynamiku sexuálnych sietí. Udržanie poklesu vyžaduje zachovanie behaviorálnych zmien a biomedicínskych zásahov.</w:t>
      </w:r>
    </w:p>
    <w:p/>
    <w:p>
      <w:pPr>
        <w:jc w:val="center"/>
      </w:pPr>
      <w:r>
        <w:t>Vygenerované: 25.03.2026 20:00:56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