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Hodnotenie anatómie a variability ovariálneho krvného zásobenia pomocou digitálnej subtrakčnej angiografie u pacientok s jazvou po cisárskom reze, ktoré podstupujú embolizáciu maternicovej artérie</w:t>
      </w:r>
    </w:p>
    <w:p>
      <w:r>
        <w:t>Zdroj: Frontiers Medicine</w:t>
      </w:r>
    </w:p>
    <w:p>
      <w:r>
        <w:t>Publikované: 2026-03-26T00:00:00Z</w:t>
      </w:r>
    </w:p>
    <w:p/>
    <w:p>
      <w:pPr>
        <w:pStyle w:val="Heading1"/>
      </w:pPr>
      <w:r>
        <w:t>Súhrn</w:t>
      </w:r>
    </w:p>
    <w:p>
      <w:r>
        <w:t>Štúdia hodnotila anatómiu a variabilitu ovariálneho krvného zásobenia u 243 pacientiek s tehotenstvom po cisárskom reze, ktoré podstupovali embolizáciu maternicovej artérie pomocou digitálnej subtrakčnej angiografie. Ľavá ovariálna artéria bola vizualizovaná u 42,8 % pacientiek a pravá u 44,86 %, bilaterálne u 18,52 %, zatiaľ čo žiadna nebola viditeľná u 20,58 %. Ovariálne vetvy maternicovej artérie sa prejavili u 39,51 % na ľavej strane (n=96) a u 38,27 % na pravej (n=93), pričom zafarbenie ovariálneho parenchýmu bolo u 70,83 % (n=68) z ľavých a u 67,74 % (n=63) z pravých. Nezistili sa štatisticky významné rozdiely medzi stranami (P &gt; 0,05). Kompletná vizualizácia všetkých štyroch vaskulárnych zdrojov bola v 8,23 % prípadov a úplná absencia v 13,58 %. Ovariálne prekrvenie vykazuje veľkú individuálnu variabilitu, pričom ovariálne vetvy maternicovej artérie významne prispievajú k perfúzii. Komplexné vyšetrenie oboch strán DSA je nevyhnutné na minimalizáciu rizika ovariálnej dysfunkcie pri embolizácii.</w:t>
      </w:r>
    </w:p>
    <w:p/>
    <w:p>
      <w:pPr>
        <w:jc w:val="center"/>
      </w:pPr>
      <w:r>
        <w:t>Vygenerované: 26.03.2026 07:46:02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