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Bolesť a výsledky liečby po začatí liečby metadónom vs buprenorfín medzi pacientmi s užívaním opiátov a komorbidnou chronickou bolesťou: emulácia cieľovej štúdie</w:t>
      </w:r>
    </w:p>
    <w:p>
      <w:r>
        <w:t>Zdroj: PLOS Medicine</w:t>
      </w:r>
    </w:p>
    <w:p>
      <w:r>
        <w:t>Publikované: 2026-03-26T14:00:00Z</w:t>
      </w:r>
    </w:p>
    <w:p/>
    <w:p>
      <w:pPr>
        <w:pStyle w:val="Heading1"/>
      </w:pPr>
      <w:r>
        <w:t>Súhrn</w:t>
      </w:r>
    </w:p>
    <w:p>
      <w:r>
        <w:t>Štúdia preskúmala výsledky liečby bolesťou a liečby u pacientov Medicare s poruchou užívania opioidov (OUD) a komorbidnou chronickou bolesťou, ktorí začali metadónom alebo buprenorfínom. Analyzovali sa údaje z rokov 2020–2023 u 49 727 pacientov (priemerný vek 59,0 rokov, 49,3 % žien), z čoho 32,5 % začalo metadónom v programoch liečby opioidov a 67,5 % buprenorfínom v ambulancii. Začatie metadónom bolo spojené s nižšou mierou hospitalizácií kvôli bolesti (IRR 0,64; 95 % CI [0,58–0,70]; aRD -7,2 na 1000 osoborokov) a nižším počtom návštev pohotovosti kvôli bolesti (IRR 0,82; 95 % CI [0,82–0,92]; aRD -10,2 na 1000 osoborokov) v porovnaní s buprenorfínom. Nebol rozdiel v predávkovaní opioidmi ani úmrtnosti zo všetkých príčin. Výsledky sa hodnotili 1 rok po začatí liečby pomocou emulácie cieľovej štúdie. Hlavné obmedzenia zahŕňali nemerané mätúce faktory a obmedzenú zovšeobecniteľnosť.</w:t>
      </w:r>
    </w:p>
    <w:p/>
    <w:p>
      <w:pPr>
        <w:jc w:val="center"/>
      </w:pPr>
      <w:r>
        <w:t>Vygenerované: 26.03.2026 19:01:24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