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Recordati narástla o 10,9 miliardy EUR, ponuka akvizície CVC Capital</w:t>
      </w:r>
    </w:p>
    <w:p>
      <w:r>
        <w:t>Zdroj: Pharmaceutical Technology</w:t>
      </w:r>
    </w:p>
    <w:p>
      <w:r>
        <w:t>Publikované: Fri, 27 Mar 2026 16:51:30 +0000</w:t>
      </w:r>
    </w:p>
    <w:p/>
    <w:p>
      <w:pPr>
        <w:pStyle w:val="Heading1"/>
      </w:pPr>
      <w:r>
        <w:t>Súhrn</w:t>
      </w:r>
    </w:p>
    <w:p>
      <w:r>
        <w:t>Spoločnosť CVC Capital predložila ponuku na akvizíciu spoločnosti Recordati v hodnote 10,9 miliardy EUR. Táto ponuka sa týka odkúpenia zostávajúcich 48,2 % verejne obchodovaných akcií spoločnosti Recordati. Ak bude ponuka akceptovaná, CVC Capital získa kontrolu nad touto časťou spoločnosti Recordati.</w:t>
      </w:r>
    </w:p>
    <w:p/>
    <w:p>
      <w:pPr>
        <w:jc w:val="center"/>
      </w:pPr>
      <w:r>
        <w:t>Vygenerované: 27.03.2026 18:01:10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